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4F00A">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657D94A6">
      <w:pPr>
        <w:spacing w:line="540" w:lineRule="exact"/>
        <w:jc w:val="center"/>
        <w:rPr>
          <w:rFonts w:ascii="方正小标宋_GBK" w:hAnsi="华文中宋" w:eastAsia="方正小标宋_GBK" w:cs="宋体"/>
          <w:b/>
          <w:kern w:val="0"/>
          <w:sz w:val="48"/>
          <w:szCs w:val="48"/>
        </w:rPr>
      </w:pPr>
    </w:p>
    <w:p w14:paraId="061B47A9">
      <w:pPr>
        <w:spacing w:line="540" w:lineRule="exact"/>
        <w:jc w:val="center"/>
        <w:rPr>
          <w:rFonts w:ascii="方正小标宋_GBK" w:hAnsi="华文中宋" w:eastAsia="方正小标宋_GBK" w:cs="宋体"/>
          <w:b/>
          <w:kern w:val="0"/>
          <w:sz w:val="48"/>
          <w:szCs w:val="48"/>
        </w:rPr>
      </w:pPr>
    </w:p>
    <w:p w14:paraId="4042D3EE">
      <w:pPr>
        <w:spacing w:line="540" w:lineRule="exact"/>
        <w:jc w:val="center"/>
        <w:rPr>
          <w:rFonts w:ascii="方正小标宋_GBK" w:hAnsi="华文中宋" w:eastAsia="方正小标宋_GBK" w:cs="宋体"/>
          <w:b/>
          <w:kern w:val="0"/>
          <w:sz w:val="48"/>
          <w:szCs w:val="48"/>
        </w:rPr>
      </w:pPr>
    </w:p>
    <w:p w14:paraId="4A21767F">
      <w:pPr>
        <w:spacing w:line="540" w:lineRule="exact"/>
        <w:jc w:val="center"/>
        <w:rPr>
          <w:rFonts w:ascii="方正小标宋_GBK" w:hAnsi="华文中宋" w:eastAsia="方正小标宋_GBK" w:cs="宋体"/>
          <w:b/>
          <w:kern w:val="0"/>
          <w:sz w:val="48"/>
          <w:szCs w:val="48"/>
        </w:rPr>
      </w:pPr>
    </w:p>
    <w:p w14:paraId="115E8A1E">
      <w:pPr>
        <w:spacing w:line="540" w:lineRule="exact"/>
        <w:jc w:val="center"/>
        <w:rPr>
          <w:rFonts w:ascii="方正小标宋_GBK" w:hAnsi="华文中宋" w:eastAsia="方正小标宋_GBK" w:cs="宋体"/>
          <w:b/>
          <w:kern w:val="0"/>
          <w:sz w:val="48"/>
          <w:szCs w:val="48"/>
        </w:rPr>
      </w:pPr>
    </w:p>
    <w:p w14:paraId="55A15BBE">
      <w:pPr>
        <w:spacing w:line="540" w:lineRule="exact"/>
        <w:jc w:val="center"/>
        <w:rPr>
          <w:rFonts w:ascii="方正小标宋_GBK" w:hAnsi="华文中宋" w:eastAsia="方正小标宋_GBK" w:cs="宋体"/>
          <w:b/>
          <w:kern w:val="0"/>
          <w:sz w:val="48"/>
          <w:szCs w:val="48"/>
        </w:rPr>
      </w:pPr>
    </w:p>
    <w:p w14:paraId="7985AE2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6253046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EE9BFD7">
      <w:pPr>
        <w:spacing w:line="540" w:lineRule="exact"/>
        <w:jc w:val="center"/>
        <w:rPr>
          <w:rFonts w:ascii="华文中宋" w:hAnsi="华文中宋" w:eastAsia="华文中宋" w:cs="宋体"/>
          <w:b/>
          <w:kern w:val="0"/>
          <w:sz w:val="52"/>
          <w:szCs w:val="52"/>
        </w:rPr>
      </w:pPr>
    </w:p>
    <w:p w14:paraId="6B4508DD">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3574552">
      <w:pPr>
        <w:spacing w:line="700" w:lineRule="exact"/>
        <w:jc w:val="left"/>
        <w:rPr>
          <w:rFonts w:hint="eastAsia" w:hAnsi="宋体" w:eastAsia="仿宋_GB2312" w:cs="宋体"/>
          <w:kern w:val="0"/>
          <w:sz w:val="36"/>
          <w:szCs w:val="36"/>
        </w:rPr>
      </w:pPr>
    </w:p>
    <w:p w14:paraId="7FE44BD7">
      <w:pPr>
        <w:spacing w:line="700" w:lineRule="exact"/>
        <w:jc w:val="left"/>
        <w:rPr>
          <w:rFonts w:hint="eastAsia" w:hAnsi="宋体" w:eastAsia="仿宋_GB2312" w:cs="宋体"/>
          <w:kern w:val="0"/>
          <w:sz w:val="36"/>
          <w:szCs w:val="36"/>
        </w:rPr>
      </w:pPr>
    </w:p>
    <w:p w14:paraId="3A4CDF2E">
      <w:pPr>
        <w:spacing w:line="700" w:lineRule="exact"/>
        <w:jc w:val="left"/>
        <w:rPr>
          <w:rFonts w:hint="eastAsia" w:hAnsi="宋体" w:eastAsia="仿宋_GB2312" w:cs="宋体"/>
          <w:kern w:val="0"/>
          <w:sz w:val="36"/>
          <w:szCs w:val="36"/>
          <w:lang w:eastAsia="zh-CN"/>
        </w:rPr>
      </w:pPr>
    </w:p>
    <w:p w14:paraId="588BFC48">
      <w:pPr>
        <w:spacing w:line="700" w:lineRule="exact"/>
        <w:jc w:val="left"/>
        <w:rPr>
          <w:rFonts w:hint="eastAsia" w:hAnsi="宋体" w:eastAsia="仿宋_GB2312" w:cs="宋体"/>
          <w:kern w:val="0"/>
          <w:sz w:val="36"/>
          <w:szCs w:val="36"/>
          <w:lang w:eastAsia="zh-CN"/>
        </w:rPr>
      </w:pPr>
    </w:p>
    <w:p w14:paraId="379576A7">
      <w:pPr>
        <w:spacing w:line="700" w:lineRule="exact"/>
        <w:jc w:val="left"/>
        <w:rPr>
          <w:rFonts w:hint="eastAsia" w:hAnsi="宋体" w:eastAsia="仿宋_GB2312" w:cs="宋体"/>
          <w:kern w:val="0"/>
          <w:sz w:val="36"/>
          <w:szCs w:val="36"/>
          <w:lang w:eastAsia="zh-CN"/>
        </w:rPr>
      </w:pPr>
    </w:p>
    <w:p w14:paraId="06A7CB5E">
      <w:pPr>
        <w:spacing w:line="700" w:lineRule="exact"/>
        <w:jc w:val="left"/>
        <w:rPr>
          <w:rFonts w:hint="eastAsia" w:hAnsi="宋体" w:eastAsia="仿宋_GB2312" w:cs="宋体"/>
          <w:kern w:val="0"/>
          <w:sz w:val="36"/>
          <w:szCs w:val="36"/>
          <w:lang w:eastAsia="zh-CN"/>
        </w:rPr>
      </w:pPr>
    </w:p>
    <w:p w14:paraId="20D108BE">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克州民政局</w:t>
      </w:r>
    </w:p>
    <w:p w14:paraId="20FA87C0">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5221D19B">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5CC0B5B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746A220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both"/>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民政局(以下简称自治州民政局)是自治州人民政府工作部门，为正县级。自治州民政局贯彻落实党中央关于民政工作的方针政策和决策部署以及自治区、自治州党委工作要求，在履行职责过程中坚持和加强党对民政工作的集中统一领导。主要职责是：</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贯彻执行国家、自治区关于民政工作的法律、法规规章、政策;拟订自治州民政事业发展规划并组织实施。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拟订社会救助规划、政策和标准，健全城乡社会救助体系，指导有意愿的特困老人集中供养和孤儿集中收养;拟订社会保障兜底脱贫政策和标准，指导城乡最低生活保障、临时救助。</w:t>
      </w:r>
      <w:r>
        <w:rPr>
          <w:rFonts w:hint="eastAsia" w:ascii="仿宋_GB2312" w:hAnsi="宋体" w:eastAsia="仿宋_GB2312"/>
          <w:b w:val="0"/>
          <w:bCs/>
          <w:sz w:val="32"/>
          <w:szCs w:val="32"/>
        </w:rPr>
        <w:cr/>
      </w:r>
      <w:r>
        <w:rPr>
          <w:rFonts w:hint="eastAsia" w:ascii="仿宋_GB2312" w:hAnsi="宋体" w:eastAsia="仿宋_GB2312"/>
          <w:b w:val="0"/>
          <w:bCs/>
          <w:sz w:val="32"/>
          <w:szCs w:val="32"/>
        </w:rPr>
        <w:t>　　承担自治州社会团体、民办非企业、社会服务机构的登记管理、监督责任;依法对自治州社会团体、民办非企业进行登记、年检和监督;指导社会组织党建工作。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拟订自治州城乡基层群众自治建设和社区治理的规划、政策和标准;指导加强和完善城乡基层政权及社区治理，推动基层民主政治建设;指导城多社区服务体系建设。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拟订行政区划、行政区城界线和地名管理政策和标准指导自治州行政区划调整、行政区城界线勘定和管理、地名管理负责县(市)、乡(镇)级行政区划设立、撤销、命名、变更和政府驻地迁移的初审上报工作。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w:t>
      </w:r>
      <w:r>
        <w:rPr>
          <w:rFonts w:hint="eastAsia" w:ascii="仿宋_GB2312" w:hAnsi="宋体" w:eastAsia="仿宋_GB2312"/>
          <w:b w:val="0"/>
          <w:bCs/>
          <w:sz w:val="32"/>
          <w:szCs w:val="32"/>
          <w:lang w:eastAsia="zh-CN"/>
        </w:rPr>
        <w:t>婚姻</w:t>
      </w:r>
      <w:r>
        <w:rPr>
          <w:rFonts w:hint="eastAsia" w:ascii="仿宋_GB2312" w:hAnsi="宋体" w:eastAsia="仿宋_GB2312"/>
          <w:b w:val="0"/>
          <w:bCs/>
          <w:sz w:val="32"/>
          <w:szCs w:val="32"/>
        </w:rPr>
        <w:t>登记、殡葬管理办法;指导婚姻登记、殡葬服务机构管理，推进婚俗和殡葬改革。</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拟订老年人福利和养老服务业发展规划、政策和标准，推进社会养老服务体系建设;指导养老机构和特困人员救助供养机构建设和管理。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拟订儿童福利、儿童收养和儿童保护政策、标准;健全农村留守儿童关爱体系和困境儿童保障制度;指导儿童福利收养登记、未成年人保护机构管理。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拟订生活无着的流浪、乞讨人员救助政策和标准;指导救助管理和机构建设工作。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拟订促进慈善事业发展规划、政策和标准;指导社会捐助，监管慈善行为;负责福利彩票发行管理。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拟订残障福利发展政策和标准;指导残障福利和康复辅助器具行业发展;负责民政职责范围内的精神卫生工作。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拟订社会工作发展规划、政策和职业规范，指导社会工作人才和志愿者队伍建设。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按照“管行业必须管安全、管业务必须管安全”的要求，对本行业领城安全生产负行业监管(行业主管)职责，组织开展本行业领城安全生产宣传教育、日常监督检查工作。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完成自治州党委、自治州人民政府交办的其他任务。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克州民政局无下属预算单位，下设3个处室，分别是：办公室(基层政权和社会治理科)、社会救助和民间组织管理科、社会事务和区划地名科。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克州民政局所属事业单位包括：克州殡葬管理所、克州慈善总会、克州福利彩票发行中心、克州居民家庭经济状况核对中心，自治州低保中心，克孜勒苏柯尔克孜自治州民间组织登记服务中心。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克州民政局编制数28，实有人数23人，其中：在职23人；退休17人，离休1人。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加强兜底保障，巩固脱贫攻坚成果，加强社会救助，强化特殊群体保障，抓好安全维稳，防范化解民政领域重大风险。加强养老建设，完善基本社会服务；加强基层社会治理，着力解决群众关切，做好“十四五”期间克州本级养老院和儿童福利院项目申报。</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民政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局实物资产进行管理。各部门配合内部控制牵头部门对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（2）收支管理：领导层是本单位收支业务管理的决策部门，负责审批单位收支业务等事项。涉及“三重一大”事项，根据《克州民政局集体决策制度》和《克州民政局项目管理办法》办理。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民政局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民政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455.53万元，项目支出安排资金4782.97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本单位2021年度项目支出4782.97万元，涉及项目数量6个，其中：重点项目支出3000万元，涉及重点项目数量1个，重点项目支出与部门项目总支出的比率为62.72%。</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2021年度本单位年初批复部门预算资金总额为657.32万元，年中调增预算总额为4671.44万元，调整后全年预算资金总额为5,238.76万元。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2021年度本单位部门整体支出资金总额为5,238.76万元，预算执行率为100%，预算调整率为</w:t>
      </w:r>
      <w:r>
        <w:rPr>
          <w:rFonts w:hint="eastAsia" w:ascii="仿宋_GB2312" w:hAnsi="宋体" w:eastAsia="仿宋_GB2312"/>
          <w:b w:val="0"/>
          <w:bCs/>
          <w:sz w:val="32"/>
          <w:szCs w:val="32"/>
          <w:lang w:val="en-US" w:eastAsia="zh-CN"/>
        </w:rPr>
        <w:t>710.68</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18DD7E6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518AD12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为加强我单位预算管理、规范财务行为我单位制定了《克州民政局内部控制规范》《克州民政局项目管理规范》等资金管理制度，已建立制度均健全且有效运行。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2021年度我单位基本支出预算总额为455.53万元，其中人员经费381.76万元，公用经费73.78万元。实际执行总额为455.53万元，预算执行率100%。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1.62万元，比上年增加1.02万元，增加170.46%，主要原因是：我单位本年度业务工作增加，公务用车增加。其中，因公出国（境）费支出0万元；公务用车购置及运行维护费支出1.62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与年初预算数相比情况：一般公共预算“三公”经费支出年初预算数2.5万元，预算执行数为1.62万元，执行率为64.80%，主要原因是：按照厉行节约的要求，2021年缩减公务车运行维护费，因此支出随之减少。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2021年度本单位项目支出预算总额为6052.80万元，实际执行资金总额为4782.97万元，预算执行率为79.02%。</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2021年度预算安排专项资金3035万元，实际支出资金1765.18万元，预算执行率为58.16%，涉及项目个数3个。专项经费按照政策要求实行专款专用，不存在截留、挤占、挪用、虚列支出。各项目详细执行情况如下：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第一书记工作经费为民办实事工作经费项目:全年预算数为17万元，预算执行数为16.86万元，预算执行率为99.18%。</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克州精神病院建设项目项目:全年预算数为3000万元，预算执行数为1730.32万元，预算执行率为57.68%。</w:t>
      </w:r>
      <w:r>
        <w:rPr>
          <w:rFonts w:hint="eastAsia" w:ascii="仿宋_GB2312" w:hAnsi="宋体" w:eastAsia="仿宋_GB2312"/>
          <w:b w:val="0"/>
          <w:bCs/>
          <w:sz w:val="32"/>
          <w:szCs w:val="32"/>
        </w:rPr>
        <w:cr/>
      </w:r>
      <w:r>
        <w:rPr>
          <w:rFonts w:hint="eastAsia" w:ascii="仿宋_GB2312" w:hAnsi="宋体" w:eastAsia="仿宋_GB2312"/>
          <w:b w:val="0"/>
          <w:bCs/>
          <w:sz w:val="32"/>
          <w:szCs w:val="32"/>
        </w:rPr>
        <w:t>　　光明街道团结路社区福彩公益金项目:全年预算数为18万元，预算执行数为18万元，预算执行率为100%。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2021年度预算安排本级财力资金17.80万元，实际支出资金17.80万元，预算执行率为100%，涉及项目个数3个，各项目详细执行情况如下：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克州民政局购买服务费用项目:全年预算数为10.80万元，预算执行数为10.80万元，预算执行率为100%。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3.其他资金安排支出管理和使用情况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克州精神病院项目:全年预算数为3000万元，预算执行数为3000万元，预算执行率为100%。</w:t>
      </w:r>
    </w:p>
    <w:p w14:paraId="7A240CD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438F8EE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一步完善财务制度,规范收支流程,严格审批制度。严格执行各项财经制度和管理规定,对预算资金严格控制,规范使用,强化执行，专项资金预算执行率为58.16%。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克州精神病院建设项目：《关于下达2021年社会服务设施兜底线工程中央基建投资预算（拨款）的通知》（新财建[2021]101号）</w:t>
      </w:r>
      <w:r>
        <w:rPr>
          <w:rFonts w:hint="eastAsia" w:ascii="仿宋_GB2312" w:hAnsi="宋体" w:eastAsia="仿宋_GB2312"/>
          <w:b w:val="0"/>
          <w:bCs/>
          <w:sz w:val="32"/>
          <w:szCs w:val="32"/>
        </w:rPr>
        <w:cr/>
      </w:r>
      <w:r>
        <w:rPr>
          <w:rFonts w:hint="eastAsia" w:ascii="仿宋_GB2312" w:hAnsi="宋体" w:eastAsia="仿宋_GB2312"/>
          <w:b w:val="0"/>
          <w:bCs/>
          <w:sz w:val="32"/>
          <w:szCs w:val="32"/>
        </w:rPr>
        <w:t>　　光明街道团结路社区福彩公益金项目：《关于拨付返还福利彩票公益金2017年上半年清算资金的通知》（克财综[2017]31号）。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2项专项，总投入共计3035万元，资金全部到位，实际使用资金1765.18万元，专项资金执行率为58.16%。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①制订《克州民政局经费使用规范》,为合理合规使用经费提供了有力的制度保障。同时,建立区委组织部项目经费内部管控制度，并严格按要求落实。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成本节约：我单位2个项目成本均未超预算，预算执行率达58.16%。</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克州精神病院建设项目：主要用于残疾人服务基础设施建设，有利于提升为孤弃儿童、流浪乞讨人员、退役军人、残疾人等特殊群体服务的能力和质量。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光明街道团结路社区福彩公益金项目：主要用于对残疾人家庭、孤寡老人家庭、特困家庭给予补助金及补助生活用品方面的生活资助，有利于对老年人较多的居民小区安装室外健身器材，在社区配备室内健身器材，老年人按摩椅等服务设施，为辖区老年人、残疾人、特困群体提供帮助。</w:t>
      </w:r>
    </w:p>
    <w:p w14:paraId="1A625B8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07DB317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本单位2021年初资产合计数为1618.87万元，年末资产合计数为1600.62万元。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截止本年度固定资产账面净值1278.23万元，年末实际在用固定资产1278.23万元，固定资产利用率为100%。</w:t>
      </w:r>
    </w:p>
    <w:p w14:paraId="7DA0AD28">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4D32CF5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部门单位整体支出共设置一级指标3个，二级指标7个，三级指标13个，其中已完成三级指标11个，指标完成率为84.62%。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“保障人员人数（人）”指标：预期指标值为=42人，实际完成指标值为41人，指标完成率为97.62%。偏差原因：2021年因人事调动调离一人；改进措施：做好年初预算。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“保障车辆数（辆）”指标：预期指标值为=3辆，实际完成指标值为3辆，指标完成率为100%。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“保障科室（部门）（个）”指标：预期指标值为=6个，实际完成指标值为6个，指标完成率为100%。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“调查低保户数（户）”指标：预期指标值为=69150户，实际完成指标值为69150户，指标完成率为100%。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“管理孤儿院数量（个）”指标：预期指标值为=4个，实际完成指标值为4个，指标完成率为100%。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“管理敬老院数量（个）”指标：预期指标值为=5个，实际完成指标值为5个，指标完成率为100%。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万元）”指标：预期指标值为=490.24万元，实际完成指标值为471.86，指标完成率为96.25%。偏差原因：殡仪馆基础设施建设项目已完工，质保期一年，在2021年12到期，年底财政扎帐，未按时付款；本级彩票公益金购买“我为群众办实事”全民健身项目资金到位时间是2021年12月，项目未实施，没有到付款时间。改进措施：2022年支付殡仪馆基础设施建设项目质保金，全民健身项目尽快实施，按期支付项目资金。</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“项目支出（万元）”指标：预期指标值为=167.08万元，实际完成指标值为167.08万元，指标完成率为100%。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“提升公共服务水平”指标：预期指标值为有效提升，实际完成指标值为有效提升，指标完成率为100%。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“保障日常需要”指标：预期指标值为有效保障，实际完成指标值为有效保障，指标完成率为100%。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“受益职工满意度”指标：预期指标值为&gt;=95%，实际完成指标值为95%，指标完成率为100%。</w:t>
      </w:r>
    </w:p>
    <w:p w14:paraId="5B2C1FC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24C289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01FC36F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2CB0891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A0A5617"/>
    <w:rsid w:val="1B5E2A15"/>
    <w:rsid w:val="1EBC5BC0"/>
    <w:rsid w:val="200F4073"/>
    <w:rsid w:val="21155815"/>
    <w:rsid w:val="24B86128"/>
    <w:rsid w:val="3BD4029F"/>
    <w:rsid w:val="3F9454ED"/>
    <w:rsid w:val="4093271E"/>
    <w:rsid w:val="464C49A2"/>
    <w:rsid w:val="46E53714"/>
    <w:rsid w:val="49D97D79"/>
    <w:rsid w:val="4DE42F5E"/>
    <w:rsid w:val="51C70EA9"/>
    <w:rsid w:val="54F842B6"/>
    <w:rsid w:val="5D7C45ED"/>
    <w:rsid w:val="656071F2"/>
    <w:rsid w:val="6BF1756B"/>
    <w:rsid w:val="6F5E1AA3"/>
    <w:rsid w:val="75BB5A63"/>
    <w:rsid w:val="7ABB49D7"/>
    <w:rsid w:val="7D837DDD"/>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10286</Words>
  <Characters>10805</Characters>
  <Lines>2</Lines>
  <Paragraphs>1</Paragraphs>
  <TotalTime>0</TotalTime>
  <ScaleCrop>false</ScaleCrop>
  <LinksUpToDate>false</LinksUpToDate>
  <CharactersWithSpaces>11125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2025-07-31T03:18:47Z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